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E2" w:rsidRDefault="00296302">
      <w:r>
        <w:t xml:space="preserve">Ainda não há decisão de julgamento pelo Órgão de Controle Externo – TCE/TO sobre as contas do Ano de 2023 da Unidade Gestora </w:t>
      </w:r>
      <w:r w:rsidR="00AA2FD7">
        <w:t>FUNJURIS.</w:t>
      </w:r>
    </w:p>
    <w:sectPr w:rsidR="00652DE2" w:rsidSect="00652D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6302"/>
    <w:rsid w:val="00146C2D"/>
    <w:rsid w:val="00296302"/>
    <w:rsid w:val="00652DE2"/>
    <w:rsid w:val="00AA2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3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8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114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S161753</dc:creator>
  <cp:lastModifiedBy>S161753</cp:lastModifiedBy>
  <cp:revision>2</cp:revision>
  <dcterms:created xsi:type="dcterms:W3CDTF">2024-03-06T20:55:00Z</dcterms:created>
  <dcterms:modified xsi:type="dcterms:W3CDTF">2024-03-06T20:55:00Z</dcterms:modified>
</cp:coreProperties>
</file>